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0FBBE" w14:textId="77777777" w:rsidR="00266FF1" w:rsidRPr="006D0CC1" w:rsidRDefault="00266FF1" w:rsidP="006D0CC1">
      <w:pPr>
        <w:jc w:val="center"/>
        <w:rPr>
          <w:rFonts w:ascii="Book Antiqua" w:hAnsi="Book Antiqua"/>
          <w:b/>
          <w:bCs/>
          <w:i/>
          <w:iCs/>
          <w:color w:val="1A1C1C"/>
          <w:w w:val="110"/>
          <w:u w:val="single"/>
        </w:rPr>
      </w:pPr>
      <w:r w:rsidRPr="006D0CC1">
        <w:rPr>
          <w:rFonts w:ascii="Book Antiqua" w:hAnsi="Book Antiqua"/>
          <w:b/>
          <w:bCs/>
          <w:i/>
          <w:iCs/>
          <w:color w:val="1A1C1C"/>
          <w:w w:val="110"/>
          <w:u w:val="single"/>
        </w:rPr>
        <w:t>TECHNICAL SPECIFICATION FOR ADDITIONAL EARTHING WORK IN TRANSMISSION LINES</w:t>
      </w:r>
    </w:p>
    <w:p w14:paraId="36C60929" w14:textId="77777777" w:rsidR="006D0CC1" w:rsidRDefault="006D0CC1" w:rsidP="006D0CC1">
      <w:pPr>
        <w:jc w:val="both"/>
        <w:rPr>
          <w:rFonts w:ascii="Book Antiqua" w:hAnsi="Book Antiqua"/>
          <w:b/>
          <w:bCs/>
          <w:i/>
          <w:iCs/>
          <w:color w:val="1A1C1C"/>
          <w:w w:val="110"/>
          <w:u w:val="single"/>
        </w:rPr>
      </w:pPr>
    </w:p>
    <w:p w14:paraId="55B67CEB" w14:textId="7CD29C60" w:rsidR="00266FF1" w:rsidRPr="006D0CC1" w:rsidRDefault="00266FF1"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SCOPE OF WORK</w:t>
      </w:r>
    </w:p>
    <w:p w14:paraId="2CA97A37" w14:textId="77777777" w:rsidR="006D0CC1" w:rsidRDefault="006D0CC1" w:rsidP="006D0CC1">
      <w:pPr>
        <w:jc w:val="both"/>
        <w:rPr>
          <w:rFonts w:ascii="Book Antiqua" w:hAnsi="Book Antiqua"/>
          <w:b/>
          <w:bCs/>
          <w:i/>
          <w:iCs/>
          <w:color w:val="1A1C1C"/>
          <w:w w:val="110"/>
          <w:u w:val="single"/>
        </w:rPr>
      </w:pPr>
    </w:p>
    <w:p w14:paraId="2CA0BCA3" w14:textId="665A2E27" w:rsidR="00266FF1" w:rsidRPr="006D0CC1" w:rsidRDefault="00266FF1"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GENERAL</w:t>
      </w:r>
    </w:p>
    <w:p w14:paraId="4FBD3C36" w14:textId="77777777" w:rsidR="006D0CC1" w:rsidRDefault="006D0CC1" w:rsidP="006D0CC1">
      <w:pPr>
        <w:jc w:val="both"/>
        <w:rPr>
          <w:rFonts w:ascii="Book Antiqua" w:hAnsi="Book Antiqua"/>
          <w:color w:val="1A1C1C"/>
          <w:w w:val="110"/>
        </w:rPr>
      </w:pPr>
    </w:p>
    <w:p w14:paraId="2D7172B0" w14:textId="39035413" w:rsidR="00266FF1" w:rsidRPr="006D0CC1" w:rsidRDefault="00266FF1" w:rsidP="006D0CC1">
      <w:pPr>
        <w:jc w:val="both"/>
        <w:rPr>
          <w:rFonts w:ascii="Book Antiqua" w:hAnsi="Book Antiqua"/>
          <w:color w:val="1A1C1C"/>
          <w:w w:val="110"/>
        </w:rPr>
      </w:pPr>
      <w:r w:rsidRPr="006D0CC1">
        <w:rPr>
          <w:rFonts w:ascii="Book Antiqua" w:hAnsi="Book Antiqua"/>
          <w:color w:val="1A1C1C"/>
          <w:w w:val="110"/>
        </w:rPr>
        <w:t>The contractor shall carry out the work to provide additional shield wire earthing work (for pipe type or counterpoise type) in transmission line of voltage level 220 kV (operations &amp; maintenance being done by Kota TL group) in strict adherence to technical specifications (i.e. this document). Before quoting the rate, the contractor shall be totally aware about local conditions, nature of work and areas (i.e. hilly, plain, normal soil, hard or rocky soil etc.) where such work of additional shield wire earthing shall be done. The owner shall not accept rates with respect to different kinds of soil. The contractor shall quote average rates of installation which shall be applicable for all kinds of soil. Except T &amp;P and manpower, all materials like earthing rod for pipe type earthing, PG clamps, down-lead clamps, GS lugs and earth wire of</w:t>
      </w:r>
      <w:r w:rsidR="008D637E" w:rsidRPr="006D0CC1">
        <w:rPr>
          <w:rFonts w:ascii="Book Antiqua" w:hAnsi="Book Antiqua"/>
          <w:color w:val="1A1C1C"/>
          <w:w w:val="110"/>
        </w:rPr>
        <w:t xml:space="preserve"> </w:t>
      </w:r>
      <w:r w:rsidRPr="006D0CC1">
        <w:rPr>
          <w:rFonts w:ascii="Book Antiqua" w:hAnsi="Book Antiqua"/>
          <w:color w:val="1A1C1C"/>
          <w:w w:val="110"/>
        </w:rPr>
        <w:t>required size and length shall be supplied by the owner at zero cost. The contractor shall transport the materials from the owner store to work locations at his own cost.</w:t>
      </w:r>
    </w:p>
    <w:p w14:paraId="4571DBC0" w14:textId="77777777" w:rsidR="006D0CC1" w:rsidRDefault="006D0CC1" w:rsidP="006D0CC1">
      <w:pPr>
        <w:jc w:val="both"/>
        <w:rPr>
          <w:rFonts w:ascii="Book Antiqua" w:hAnsi="Book Antiqua"/>
          <w:b/>
          <w:bCs/>
          <w:i/>
          <w:iCs/>
          <w:color w:val="1A1C1C"/>
          <w:w w:val="110"/>
          <w:u w:val="single"/>
        </w:rPr>
      </w:pPr>
    </w:p>
    <w:p w14:paraId="6FC8C436" w14:textId="2F009C1D" w:rsidR="006D0CC1" w:rsidRDefault="00266FF1"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WORK AREA</w:t>
      </w:r>
    </w:p>
    <w:p w14:paraId="56F61152" w14:textId="77777777" w:rsidR="006D0CC1" w:rsidRDefault="006D0CC1" w:rsidP="006D0CC1">
      <w:pPr>
        <w:jc w:val="both"/>
        <w:rPr>
          <w:rFonts w:ascii="Book Antiqua" w:hAnsi="Book Antiqua"/>
          <w:color w:val="1A1C1C"/>
          <w:w w:val="110"/>
        </w:rPr>
      </w:pPr>
    </w:p>
    <w:p w14:paraId="744989A0" w14:textId="766D3779" w:rsidR="00266FF1" w:rsidRPr="006D0CC1" w:rsidRDefault="00266FF1" w:rsidP="006D0CC1">
      <w:pPr>
        <w:jc w:val="both"/>
        <w:rPr>
          <w:rFonts w:ascii="Book Antiqua" w:hAnsi="Book Antiqua"/>
          <w:color w:val="1A1C1C"/>
          <w:w w:val="110"/>
        </w:rPr>
      </w:pPr>
      <w:r w:rsidRPr="006D0CC1">
        <w:rPr>
          <w:rFonts w:ascii="Book Antiqua" w:hAnsi="Book Antiqua"/>
          <w:color w:val="1A1C1C"/>
          <w:w w:val="110"/>
        </w:rPr>
        <w:t>220kV lines under Kota TL group or as decided by the Engineer­ In-Charge of Kota Sub-station.</w:t>
      </w:r>
    </w:p>
    <w:p w14:paraId="23688C14" w14:textId="77777777" w:rsidR="006D0CC1" w:rsidRDefault="006D0CC1" w:rsidP="006D0CC1">
      <w:pPr>
        <w:jc w:val="both"/>
        <w:rPr>
          <w:rFonts w:ascii="Book Antiqua" w:hAnsi="Book Antiqua"/>
          <w:b/>
          <w:bCs/>
          <w:i/>
          <w:iCs/>
          <w:color w:val="1A1C1C"/>
          <w:w w:val="110"/>
          <w:u w:val="single"/>
        </w:rPr>
      </w:pPr>
    </w:p>
    <w:p w14:paraId="69F58F37" w14:textId="3C083F13" w:rsidR="008D637E" w:rsidRPr="006D0CC1" w:rsidRDefault="008D637E"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DETAILED SCOPE OF WORK</w:t>
      </w:r>
    </w:p>
    <w:p w14:paraId="0E4B3642" w14:textId="77777777" w:rsidR="006D0CC1" w:rsidRDefault="006D0CC1" w:rsidP="006D0CC1">
      <w:pPr>
        <w:jc w:val="both"/>
        <w:rPr>
          <w:rFonts w:ascii="Book Antiqua" w:hAnsi="Book Antiqua"/>
          <w:color w:val="1A1C1C"/>
          <w:w w:val="110"/>
        </w:rPr>
      </w:pPr>
    </w:p>
    <w:p w14:paraId="0942CD4F" w14:textId="65E7F267" w:rsidR="008D637E" w:rsidRPr="006D0CC1" w:rsidRDefault="008D637E" w:rsidP="006D0CC1">
      <w:pPr>
        <w:jc w:val="both"/>
        <w:rPr>
          <w:rFonts w:ascii="Book Antiqua" w:hAnsi="Book Antiqua"/>
          <w:color w:val="1A1C1C"/>
          <w:w w:val="110"/>
        </w:rPr>
      </w:pPr>
      <w:r w:rsidRPr="006D0CC1">
        <w:rPr>
          <w:rFonts w:ascii="Book Antiqua" w:hAnsi="Book Antiqua"/>
          <w:color w:val="1A1C1C"/>
          <w:w w:val="110"/>
        </w:rPr>
        <w:t>The additional shield wire counterpoise earthing shall be adopted for T/L of voltage grade 220 kV and above depending upon the soil resistivity.</w:t>
      </w:r>
    </w:p>
    <w:p w14:paraId="24A5D11F" w14:textId="718EAAFE" w:rsidR="008D637E" w:rsidRPr="006D0CC1" w:rsidRDefault="008D637E" w:rsidP="006D0CC1">
      <w:pPr>
        <w:jc w:val="both"/>
        <w:rPr>
          <w:rFonts w:ascii="Book Antiqua" w:hAnsi="Book Antiqua"/>
          <w:b/>
          <w:w w:val="105"/>
          <w:position w:val="1"/>
          <w:u w:val="thick" w:color="181A1A"/>
        </w:rPr>
      </w:pPr>
    </w:p>
    <w:p w14:paraId="0C8413AA" w14:textId="77777777" w:rsidR="008D637E" w:rsidRPr="006D0CC1" w:rsidRDefault="008D637E"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Additional Shield Wire Pipe Type Earthing (excluding supply of materials)</w:t>
      </w:r>
    </w:p>
    <w:p w14:paraId="3B6774FF" w14:textId="77777777" w:rsidR="006D0CC1" w:rsidRDefault="006D0CC1" w:rsidP="006D0CC1">
      <w:pPr>
        <w:jc w:val="both"/>
        <w:rPr>
          <w:rFonts w:ascii="Book Antiqua" w:hAnsi="Book Antiqua"/>
          <w:color w:val="1A1C1C"/>
          <w:w w:val="110"/>
        </w:rPr>
      </w:pPr>
    </w:p>
    <w:p w14:paraId="48F533E0" w14:textId="01D3F4EA" w:rsidR="006D0CC1" w:rsidRPr="006D0CC1" w:rsidRDefault="006D0CC1" w:rsidP="006D0CC1">
      <w:pPr>
        <w:jc w:val="both"/>
        <w:rPr>
          <w:rFonts w:ascii="Book Antiqua" w:hAnsi="Book Antiqua"/>
          <w:color w:val="1A1C1C"/>
          <w:w w:val="110"/>
        </w:rPr>
      </w:pPr>
      <w:r w:rsidRPr="006D0CC1">
        <w:rPr>
          <w:rFonts w:ascii="Book Antiqua" w:hAnsi="Book Antiqua"/>
          <w:color w:val="1A1C1C"/>
          <w:w w:val="110"/>
        </w:rPr>
        <w:t>The additional shield wire pipe type earthing shall be adopted for T/L of voltage grade 220 kV and above depending upon the soil resistivity.</w:t>
      </w:r>
    </w:p>
    <w:p w14:paraId="2741ED14" w14:textId="77777777" w:rsidR="006D0CC1" w:rsidRPr="006D0CC1" w:rsidRDefault="006D0CC1" w:rsidP="006D0CC1">
      <w:pPr>
        <w:jc w:val="both"/>
        <w:rPr>
          <w:rFonts w:ascii="Book Antiqua" w:hAnsi="Book Antiqua"/>
          <w:color w:val="1A1C1C"/>
          <w:w w:val="110"/>
        </w:rPr>
      </w:pPr>
    </w:p>
    <w:p w14:paraId="26A0E4DB" w14:textId="6ED56356" w:rsidR="008D637E" w:rsidRPr="006D0CC1" w:rsidRDefault="008D637E" w:rsidP="006D0CC1">
      <w:pPr>
        <w:jc w:val="both"/>
        <w:rPr>
          <w:rFonts w:ascii="Book Antiqua" w:hAnsi="Book Antiqua"/>
          <w:color w:val="1A1C1C"/>
          <w:w w:val="110"/>
        </w:rPr>
      </w:pPr>
      <w:r w:rsidRPr="006D0CC1">
        <w:rPr>
          <w:rFonts w:ascii="Book Antiqua" w:hAnsi="Book Antiqua"/>
          <w:color w:val="1A1C1C"/>
          <w:w w:val="110"/>
        </w:rPr>
        <w:t xml:space="preserve">This is direct earthing of ground wire(s) running on the top of towers through extra ground wire(s). The extra ground wire (s) shall be clamped on the ground wire (s) of tower with suitable PG clamp(s) and then shall be brought to ground level along the one of the legs of tower with the help of down lead clamps. The other end(s) of down led extra ground wire(s) shall be connected to one earth pipe (length 3 </w:t>
      </w:r>
      <w:proofErr w:type="spellStart"/>
      <w:r w:rsidRPr="006D0CC1">
        <w:rPr>
          <w:rFonts w:ascii="Book Antiqua" w:hAnsi="Book Antiqua"/>
          <w:color w:val="1A1C1C"/>
          <w:w w:val="110"/>
        </w:rPr>
        <w:t>mtr</w:t>
      </w:r>
      <w:proofErr w:type="spellEnd"/>
      <w:r w:rsidRPr="006D0CC1">
        <w:rPr>
          <w:rFonts w:ascii="Book Antiqua" w:hAnsi="Book Antiqua"/>
          <w:color w:val="1A1C1C"/>
          <w:w w:val="110"/>
        </w:rPr>
        <w:t xml:space="preserve"> and depth of top of pipe is minimum 100 cm) with the help of GS lug(s) and nuts &amp; bolts at a depth not less than 1 </w:t>
      </w:r>
      <w:proofErr w:type="spellStart"/>
      <w:r w:rsidRPr="006D0CC1">
        <w:rPr>
          <w:rFonts w:ascii="Book Antiqua" w:hAnsi="Book Antiqua"/>
          <w:color w:val="1A1C1C"/>
          <w:w w:val="110"/>
        </w:rPr>
        <w:t>mtr</w:t>
      </w:r>
      <w:proofErr w:type="spellEnd"/>
      <w:r w:rsidRPr="006D0CC1">
        <w:rPr>
          <w:rFonts w:ascii="Book Antiqua" w:hAnsi="Book Antiqua"/>
          <w:color w:val="1A1C1C"/>
          <w:w w:val="110"/>
        </w:rPr>
        <w:t>. The down lead clamps shall be fixed on existing tower step bolts.</w:t>
      </w:r>
    </w:p>
    <w:p w14:paraId="0CCC274A" w14:textId="77777777" w:rsidR="006D0CC1" w:rsidRPr="006D0CC1" w:rsidRDefault="008D637E" w:rsidP="006D0CC1">
      <w:pPr>
        <w:jc w:val="both"/>
        <w:rPr>
          <w:rFonts w:ascii="Book Antiqua" w:hAnsi="Book Antiqua"/>
          <w:color w:val="1A1C1C"/>
          <w:w w:val="110"/>
        </w:rPr>
      </w:pPr>
      <w:r w:rsidRPr="006D0CC1">
        <w:rPr>
          <w:rFonts w:ascii="Book Antiqua" w:hAnsi="Book Antiqua"/>
          <w:color w:val="1A1C1C"/>
          <w:w w:val="110"/>
        </w:rPr>
        <w:t>The contractor shall also supply coke and salt (finely broken- maximum granular size-25mm) and its cost shall be included in his quoted price. This is both for pipe type and counterpoise type earthing.</w:t>
      </w:r>
    </w:p>
    <w:p w14:paraId="4A9B9FCC" w14:textId="77777777" w:rsidR="006D0CC1" w:rsidRDefault="006D0CC1" w:rsidP="006D0CC1">
      <w:pPr>
        <w:jc w:val="both"/>
        <w:rPr>
          <w:rFonts w:ascii="Book Antiqua" w:hAnsi="Book Antiqua"/>
          <w:b/>
          <w:bCs/>
          <w:i/>
          <w:iCs/>
          <w:color w:val="1A1C1C"/>
          <w:w w:val="110"/>
          <w:u w:val="single"/>
        </w:rPr>
      </w:pPr>
    </w:p>
    <w:p w14:paraId="59C985CF" w14:textId="041C3EA3" w:rsidR="008D637E" w:rsidRPr="006D0CC1" w:rsidRDefault="008D637E"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Additional Shield Wire Counterpoise Earthing (excluding supply of materials)</w:t>
      </w:r>
    </w:p>
    <w:p w14:paraId="05DC0CE9" w14:textId="77777777" w:rsidR="006D0CC1" w:rsidRDefault="006D0CC1" w:rsidP="006D0CC1">
      <w:pPr>
        <w:jc w:val="both"/>
        <w:rPr>
          <w:rFonts w:ascii="Book Antiqua" w:hAnsi="Book Antiqua"/>
          <w:color w:val="1A1C1C"/>
          <w:w w:val="110"/>
        </w:rPr>
      </w:pPr>
    </w:p>
    <w:p w14:paraId="39A7FAFD" w14:textId="1018CCC2" w:rsidR="006D0CC1" w:rsidRPr="006D0CC1" w:rsidRDefault="006D0CC1" w:rsidP="006D0CC1">
      <w:pPr>
        <w:jc w:val="both"/>
        <w:rPr>
          <w:rFonts w:ascii="Book Antiqua" w:hAnsi="Book Antiqua"/>
          <w:color w:val="1A1C1C"/>
          <w:w w:val="110"/>
        </w:rPr>
      </w:pPr>
      <w:r w:rsidRPr="006D0CC1">
        <w:rPr>
          <w:rFonts w:ascii="Book Antiqua" w:hAnsi="Book Antiqua"/>
          <w:color w:val="1A1C1C"/>
          <w:w w:val="110"/>
        </w:rPr>
        <w:t xml:space="preserve">The additional shield wire </w:t>
      </w:r>
      <w:r>
        <w:rPr>
          <w:rFonts w:ascii="Book Antiqua" w:hAnsi="Book Antiqua"/>
          <w:color w:val="1A1C1C"/>
          <w:w w:val="110"/>
        </w:rPr>
        <w:t>counterpoise</w:t>
      </w:r>
      <w:r w:rsidRPr="006D0CC1">
        <w:rPr>
          <w:rFonts w:ascii="Book Antiqua" w:hAnsi="Book Antiqua"/>
          <w:color w:val="1A1C1C"/>
          <w:w w:val="110"/>
        </w:rPr>
        <w:t xml:space="preserve"> type earthing shall be adopted for T/L of voltage grade 220 kV and above depending upon the soil resistivity.</w:t>
      </w:r>
    </w:p>
    <w:p w14:paraId="53A89C6E" w14:textId="77777777" w:rsidR="006D0CC1" w:rsidRDefault="006D0CC1" w:rsidP="006D0CC1">
      <w:pPr>
        <w:jc w:val="both"/>
        <w:rPr>
          <w:rFonts w:ascii="Book Antiqua" w:hAnsi="Book Antiqua"/>
          <w:color w:val="1A1C1C"/>
          <w:w w:val="110"/>
        </w:rPr>
      </w:pPr>
    </w:p>
    <w:p w14:paraId="231F36EF" w14:textId="7C54936C" w:rsidR="008D637E" w:rsidRPr="006D0CC1" w:rsidRDefault="008D637E" w:rsidP="006D0CC1">
      <w:pPr>
        <w:jc w:val="both"/>
        <w:rPr>
          <w:rFonts w:ascii="Book Antiqua" w:hAnsi="Book Antiqua"/>
          <w:color w:val="1A1C1C"/>
          <w:w w:val="110"/>
        </w:rPr>
      </w:pPr>
      <w:r w:rsidRPr="006D0CC1">
        <w:rPr>
          <w:rFonts w:ascii="Book Antiqua" w:hAnsi="Book Antiqua"/>
          <w:color w:val="1A1C1C"/>
          <w:w w:val="110"/>
        </w:rPr>
        <w:lastRenderedPageBreak/>
        <w:t xml:space="preserve">The two extra earth wires clamped with the top earth wires shall be down led to ground level in a similar way as for pipe type earthing. The two ends of extra earth wire (at ground level) shall be buried in ground at a depth not less than 1 </w:t>
      </w:r>
      <w:proofErr w:type="spellStart"/>
      <w:r w:rsidRPr="006D0CC1">
        <w:rPr>
          <w:rFonts w:ascii="Book Antiqua" w:hAnsi="Book Antiqua"/>
          <w:color w:val="1A1C1C"/>
          <w:w w:val="110"/>
        </w:rPr>
        <w:t>mtr</w:t>
      </w:r>
      <w:proofErr w:type="spellEnd"/>
      <w:r w:rsidRPr="006D0CC1">
        <w:rPr>
          <w:rFonts w:ascii="Book Antiqua" w:hAnsi="Book Antiqua"/>
          <w:color w:val="1A1C1C"/>
          <w:w w:val="110"/>
        </w:rPr>
        <w:t xml:space="preserve"> over a minimum two length of 30 (2x30 </w:t>
      </w:r>
      <w:proofErr w:type="spellStart"/>
      <w:r w:rsidRPr="006D0CC1">
        <w:rPr>
          <w:rFonts w:ascii="Book Antiqua" w:hAnsi="Book Antiqua"/>
          <w:color w:val="1A1C1C"/>
          <w:w w:val="110"/>
        </w:rPr>
        <w:t>mtr</w:t>
      </w:r>
      <w:proofErr w:type="spellEnd"/>
      <w:r w:rsidRPr="006D0CC1">
        <w:rPr>
          <w:rFonts w:ascii="Book Antiqua" w:hAnsi="Book Antiqua"/>
          <w:color w:val="1A1C1C"/>
          <w:w w:val="110"/>
        </w:rPr>
        <w:t xml:space="preserve">) meter (with resistivity of soil below 1500 ohm­meter). In case the measured resistivity becomes higher, the buried length may extend up to 70 </w:t>
      </w:r>
      <w:proofErr w:type="spellStart"/>
      <w:r w:rsidRPr="006D0CC1">
        <w:rPr>
          <w:rFonts w:ascii="Book Antiqua" w:hAnsi="Book Antiqua"/>
          <w:color w:val="1A1C1C"/>
          <w:w w:val="110"/>
        </w:rPr>
        <w:t>mtr</w:t>
      </w:r>
      <w:proofErr w:type="spellEnd"/>
      <w:r w:rsidRPr="006D0CC1">
        <w:rPr>
          <w:rFonts w:ascii="Book Antiqua" w:hAnsi="Book Antiqua"/>
          <w:color w:val="1A1C1C"/>
          <w:w w:val="110"/>
        </w:rPr>
        <w:t xml:space="preserve"> (2x70 </w:t>
      </w:r>
      <w:proofErr w:type="spellStart"/>
      <w:r w:rsidRPr="006D0CC1">
        <w:rPr>
          <w:rFonts w:ascii="Book Antiqua" w:hAnsi="Book Antiqua"/>
          <w:color w:val="1A1C1C"/>
          <w:w w:val="110"/>
        </w:rPr>
        <w:t>mtr</w:t>
      </w:r>
      <w:proofErr w:type="spellEnd"/>
      <w:r w:rsidRPr="006D0CC1">
        <w:rPr>
          <w:rFonts w:ascii="Book Antiqua" w:hAnsi="Book Antiqua"/>
          <w:color w:val="1A1C1C"/>
          <w:w w:val="110"/>
        </w:rPr>
        <w:t xml:space="preserve">). However, the unit rates shall correspond to 60 m length (2x30 </w:t>
      </w:r>
      <w:proofErr w:type="spellStart"/>
      <w:r w:rsidRPr="006D0CC1">
        <w:rPr>
          <w:rFonts w:ascii="Book Antiqua" w:hAnsi="Book Antiqua"/>
          <w:color w:val="1A1C1C"/>
          <w:w w:val="110"/>
        </w:rPr>
        <w:t>mtr</w:t>
      </w:r>
      <w:proofErr w:type="spellEnd"/>
      <w:r w:rsidRPr="006D0CC1">
        <w:rPr>
          <w:rFonts w:ascii="Book Antiqua" w:hAnsi="Book Antiqua"/>
          <w:color w:val="1A1C1C"/>
          <w:w w:val="110"/>
        </w:rPr>
        <w:t>) per tower.</w:t>
      </w:r>
    </w:p>
    <w:p w14:paraId="24B297FA" w14:textId="57A2DA31" w:rsidR="008D637E" w:rsidRPr="006D0CC1" w:rsidRDefault="008D637E" w:rsidP="006D0CC1">
      <w:pPr>
        <w:jc w:val="both"/>
        <w:rPr>
          <w:rFonts w:ascii="Book Antiqua" w:hAnsi="Book Antiqua"/>
          <w:color w:val="1A1C1C"/>
          <w:w w:val="110"/>
        </w:rPr>
      </w:pPr>
      <w:r w:rsidRPr="006D0CC1">
        <w:rPr>
          <w:rFonts w:ascii="Book Antiqua" w:hAnsi="Book Antiqua"/>
          <w:color w:val="1A1C1C"/>
          <w:w w:val="110"/>
        </w:rPr>
        <w:t>The contractor shall measure the tower footing resistance of tower before and after installation of additional shield wire earthing and such record shall be required to be submitted to the Engineer-In-Charge for approval. The tower footing resistance shall not exceed 10 ohms.</w:t>
      </w:r>
    </w:p>
    <w:sectPr w:rsidR="008D637E" w:rsidRPr="006D0CC1" w:rsidSect="000E30CA">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F1"/>
    <w:rsid w:val="000E30CA"/>
    <w:rsid w:val="00266FF1"/>
    <w:rsid w:val="004F746B"/>
    <w:rsid w:val="006969B7"/>
    <w:rsid w:val="006D0CC1"/>
    <w:rsid w:val="00757737"/>
    <w:rsid w:val="008D637E"/>
    <w:rsid w:val="00B820C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A5DD1"/>
  <w15:chartTrackingRefBased/>
  <w15:docId w15:val="{D73E11F1-2737-4765-8DAC-278A0830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FF1"/>
    <w:pPr>
      <w:widowControl w:val="0"/>
      <w:autoSpaceDE w:val="0"/>
      <w:autoSpaceDN w:val="0"/>
      <w:spacing w:after="0" w:line="240" w:lineRule="auto"/>
    </w:pPr>
    <w:rPr>
      <w:rFonts w:ascii="Times New Roman" w:eastAsia="Times New Roman" w:hAnsi="Times New Roman" w:cs="Times New Roman"/>
      <w:kern w:val="0"/>
      <w:sz w:val="22"/>
      <w:szCs w:val="22"/>
      <w:lang w:val="en-US"/>
      <w14:ligatures w14:val="none"/>
    </w:rPr>
  </w:style>
  <w:style w:type="paragraph" w:styleId="Heading1">
    <w:name w:val="heading 1"/>
    <w:basedOn w:val="Normal"/>
    <w:next w:val="Normal"/>
    <w:link w:val="Heading1Char"/>
    <w:uiPriority w:val="9"/>
    <w:qFormat/>
    <w:rsid w:val="00266FF1"/>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266FF1"/>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266FF1"/>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266FF1"/>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IN"/>
      <w14:ligatures w14:val="standardContextual"/>
    </w:rPr>
  </w:style>
  <w:style w:type="paragraph" w:styleId="Heading5">
    <w:name w:val="heading 5"/>
    <w:basedOn w:val="Normal"/>
    <w:next w:val="Normal"/>
    <w:link w:val="Heading5Char"/>
    <w:uiPriority w:val="9"/>
    <w:semiHidden/>
    <w:unhideWhenUsed/>
    <w:qFormat/>
    <w:rsid w:val="00266FF1"/>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en-IN"/>
      <w14:ligatures w14:val="standardContextual"/>
    </w:rPr>
  </w:style>
  <w:style w:type="paragraph" w:styleId="Heading6">
    <w:name w:val="heading 6"/>
    <w:basedOn w:val="Normal"/>
    <w:next w:val="Normal"/>
    <w:link w:val="Heading6Char"/>
    <w:uiPriority w:val="9"/>
    <w:semiHidden/>
    <w:unhideWhenUsed/>
    <w:qFormat/>
    <w:rsid w:val="00266FF1"/>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n-IN"/>
      <w14:ligatures w14:val="standardContextual"/>
    </w:rPr>
  </w:style>
  <w:style w:type="paragraph" w:styleId="Heading7">
    <w:name w:val="heading 7"/>
    <w:basedOn w:val="Normal"/>
    <w:next w:val="Normal"/>
    <w:link w:val="Heading7Char"/>
    <w:uiPriority w:val="9"/>
    <w:semiHidden/>
    <w:unhideWhenUsed/>
    <w:qFormat/>
    <w:rsid w:val="00266FF1"/>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n-IN"/>
      <w14:ligatures w14:val="standardContextual"/>
    </w:rPr>
  </w:style>
  <w:style w:type="paragraph" w:styleId="Heading8">
    <w:name w:val="heading 8"/>
    <w:basedOn w:val="Normal"/>
    <w:next w:val="Normal"/>
    <w:link w:val="Heading8Char"/>
    <w:uiPriority w:val="9"/>
    <w:semiHidden/>
    <w:unhideWhenUsed/>
    <w:qFormat/>
    <w:rsid w:val="00266FF1"/>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n-IN"/>
      <w14:ligatures w14:val="standardContextual"/>
    </w:rPr>
  </w:style>
  <w:style w:type="paragraph" w:styleId="Heading9">
    <w:name w:val="heading 9"/>
    <w:basedOn w:val="Normal"/>
    <w:next w:val="Normal"/>
    <w:link w:val="Heading9Char"/>
    <w:uiPriority w:val="9"/>
    <w:semiHidden/>
    <w:unhideWhenUsed/>
    <w:qFormat/>
    <w:rsid w:val="00266FF1"/>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F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6F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6F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6F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6F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6F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6F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6F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6FF1"/>
    <w:rPr>
      <w:rFonts w:eastAsiaTheme="majorEastAsia" w:cstheme="majorBidi"/>
      <w:color w:val="272727" w:themeColor="text1" w:themeTint="D8"/>
    </w:rPr>
  </w:style>
  <w:style w:type="paragraph" w:styleId="Title">
    <w:name w:val="Title"/>
    <w:basedOn w:val="Normal"/>
    <w:next w:val="Normal"/>
    <w:link w:val="TitleChar"/>
    <w:uiPriority w:val="10"/>
    <w:qFormat/>
    <w:rsid w:val="00266FF1"/>
    <w:pPr>
      <w:widowControl/>
      <w:autoSpaceDE/>
      <w:autoSpaceDN/>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266F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6FF1"/>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266F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6FF1"/>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n-IN"/>
      <w14:ligatures w14:val="standardContextual"/>
    </w:rPr>
  </w:style>
  <w:style w:type="character" w:customStyle="1" w:styleId="QuoteChar">
    <w:name w:val="Quote Char"/>
    <w:basedOn w:val="DefaultParagraphFont"/>
    <w:link w:val="Quote"/>
    <w:uiPriority w:val="29"/>
    <w:rsid w:val="00266FF1"/>
    <w:rPr>
      <w:i/>
      <w:iCs/>
      <w:color w:val="404040" w:themeColor="text1" w:themeTint="BF"/>
    </w:rPr>
  </w:style>
  <w:style w:type="paragraph" w:styleId="ListParagraph">
    <w:name w:val="List Paragraph"/>
    <w:basedOn w:val="Normal"/>
    <w:uiPriority w:val="34"/>
    <w:qFormat/>
    <w:rsid w:val="00266FF1"/>
    <w:pPr>
      <w:widowControl/>
      <w:autoSpaceDE/>
      <w:autoSpaceDN/>
      <w:spacing w:after="160" w:line="278" w:lineRule="auto"/>
      <w:ind w:left="720"/>
      <w:contextualSpacing/>
    </w:pPr>
    <w:rPr>
      <w:rFonts w:asciiTheme="minorHAnsi" w:eastAsiaTheme="minorHAnsi" w:hAnsiTheme="minorHAnsi" w:cstheme="minorBidi"/>
      <w:kern w:val="2"/>
      <w:sz w:val="24"/>
      <w:szCs w:val="24"/>
      <w:lang w:val="en-IN"/>
      <w14:ligatures w14:val="standardContextual"/>
    </w:rPr>
  </w:style>
  <w:style w:type="character" w:styleId="IntenseEmphasis">
    <w:name w:val="Intense Emphasis"/>
    <w:basedOn w:val="DefaultParagraphFont"/>
    <w:uiPriority w:val="21"/>
    <w:qFormat/>
    <w:rsid w:val="00266FF1"/>
    <w:rPr>
      <w:i/>
      <w:iCs/>
      <w:color w:val="0F4761" w:themeColor="accent1" w:themeShade="BF"/>
    </w:rPr>
  </w:style>
  <w:style w:type="paragraph" w:styleId="IntenseQuote">
    <w:name w:val="Intense Quote"/>
    <w:basedOn w:val="Normal"/>
    <w:next w:val="Normal"/>
    <w:link w:val="IntenseQuoteChar"/>
    <w:uiPriority w:val="30"/>
    <w:qFormat/>
    <w:rsid w:val="00266FF1"/>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IN"/>
      <w14:ligatures w14:val="standardContextual"/>
    </w:rPr>
  </w:style>
  <w:style w:type="character" w:customStyle="1" w:styleId="IntenseQuoteChar">
    <w:name w:val="Intense Quote Char"/>
    <w:basedOn w:val="DefaultParagraphFont"/>
    <w:link w:val="IntenseQuote"/>
    <w:uiPriority w:val="30"/>
    <w:rsid w:val="00266FF1"/>
    <w:rPr>
      <w:i/>
      <w:iCs/>
      <w:color w:val="0F4761" w:themeColor="accent1" w:themeShade="BF"/>
    </w:rPr>
  </w:style>
  <w:style w:type="character" w:styleId="IntenseReference">
    <w:name w:val="Intense Reference"/>
    <w:basedOn w:val="DefaultParagraphFont"/>
    <w:uiPriority w:val="32"/>
    <w:qFormat/>
    <w:rsid w:val="00266FF1"/>
    <w:rPr>
      <w:b/>
      <w:bCs/>
      <w:smallCaps/>
      <w:color w:val="0F4761" w:themeColor="accent1" w:themeShade="BF"/>
      <w:spacing w:val="5"/>
    </w:rPr>
  </w:style>
  <w:style w:type="paragraph" w:styleId="BodyText">
    <w:name w:val="Body Text"/>
    <w:basedOn w:val="Normal"/>
    <w:link w:val="BodyTextChar"/>
    <w:uiPriority w:val="1"/>
    <w:qFormat/>
    <w:rsid w:val="008D637E"/>
    <w:rPr>
      <w:sz w:val="24"/>
      <w:szCs w:val="24"/>
    </w:rPr>
  </w:style>
  <w:style w:type="character" w:customStyle="1" w:styleId="BodyTextChar">
    <w:name w:val="Body Text Char"/>
    <w:basedOn w:val="DefaultParagraphFont"/>
    <w:link w:val="BodyText"/>
    <w:uiPriority w:val="1"/>
    <w:rsid w:val="008D637E"/>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Gulshan Pancholi {गुलशन पंचाली}</dc:creator>
  <cp:keywords/>
  <dc:description/>
  <cp:lastModifiedBy>Sandeep Singh {संदीप सिंह}</cp:lastModifiedBy>
  <cp:revision>2</cp:revision>
  <dcterms:created xsi:type="dcterms:W3CDTF">2025-05-23T06:38:00Z</dcterms:created>
  <dcterms:modified xsi:type="dcterms:W3CDTF">2025-05-23T06:38:00Z</dcterms:modified>
</cp:coreProperties>
</file>